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6" w:type="dxa"/>
        <w:jc w:val="center"/>
        <w:tblInd w:w="-3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991"/>
        <w:gridCol w:w="1537"/>
        <w:gridCol w:w="1634"/>
        <w:gridCol w:w="1444"/>
      </w:tblGrid>
      <w:tr w:rsidR="0098616C" w:rsidRPr="003E139F" w:rsidTr="003710B6">
        <w:trPr>
          <w:trHeight w:val="591"/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Item</w:t>
            </w:r>
          </w:p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Especificações dos Gêneros Alimentícios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Quantidade</w:t>
            </w:r>
          </w:p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*Valor de Referência Unitário (R$)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Valor de Referência Total (R$)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01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Achocolatado em pó</w:t>
            </w:r>
            <w:r w:rsidRPr="003E139F">
              <w:rPr>
                <w:sz w:val="24"/>
                <w:szCs w:val="24"/>
              </w:rPr>
              <w:t>, rico em vitaminas e fonte de cálcio e ferro, pacote de 400 gr</w:t>
            </w:r>
            <w:r w:rsidRPr="003E139F">
              <w:rPr>
                <w:sz w:val="24"/>
                <w:szCs w:val="24"/>
              </w:rPr>
              <w:t>a</w:t>
            </w:r>
            <w:r w:rsidRPr="003E139F">
              <w:rPr>
                <w:sz w:val="24"/>
                <w:szCs w:val="24"/>
              </w:rPr>
              <w:t>mas. Validade mínima de 04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32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3,92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125,44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02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Açúcar</w:t>
            </w:r>
            <w:r w:rsidRPr="003E139F">
              <w:rPr>
                <w:sz w:val="24"/>
                <w:szCs w:val="24"/>
              </w:rPr>
              <w:t>,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>tipo cristal, branco, pacote de 05 kg. Validade mínima de 10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21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9,95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208,95</w:t>
            </w:r>
          </w:p>
        </w:tc>
      </w:tr>
      <w:tr w:rsidR="0098616C" w:rsidRPr="003E139F" w:rsidTr="003710B6">
        <w:trPr>
          <w:trHeight w:val="416"/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03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Alho</w:t>
            </w:r>
            <w:r w:rsidRPr="003E139F">
              <w:rPr>
                <w:sz w:val="24"/>
                <w:szCs w:val="24"/>
              </w:rPr>
              <w:t>, limpo, boa qualidade, bulbo inteiro, pacote de 200 gramas.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30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5,06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151,80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04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Amido de milho</w:t>
            </w:r>
            <w:r w:rsidRPr="003E139F">
              <w:rPr>
                <w:sz w:val="24"/>
                <w:szCs w:val="24"/>
              </w:rPr>
              <w:t>, pacote de 500 gramas. Validade mínima de 12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23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3,00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69,00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05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Arroz branco</w:t>
            </w:r>
            <w:r w:rsidRPr="003E139F">
              <w:rPr>
                <w:sz w:val="24"/>
                <w:szCs w:val="24"/>
              </w:rPr>
              <w:t>,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 xml:space="preserve">tipo </w:t>
            </w:r>
            <w:proofErr w:type="gramStart"/>
            <w:r w:rsidRPr="003E139F">
              <w:rPr>
                <w:sz w:val="24"/>
                <w:szCs w:val="24"/>
              </w:rPr>
              <w:t>2</w:t>
            </w:r>
            <w:proofErr w:type="gramEnd"/>
            <w:r w:rsidRPr="003E139F">
              <w:rPr>
                <w:sz w:val="24"/>
                <w:szCs w:val="24"/>
              </w:rPr>
              <w:t>,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>polido, boa qualidade, pacote de 05 kg. Validade mínima de 08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42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10,31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433,02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06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Banana caturra</w:t>
            </w:r>
            <w:r w:rsidRPr="003E139F">
              <w:rPr>
                <w:sz w:val="24"/>
                <w:szCs w:val="24"/>
              </w:rPr>
              <w:t>, íntegra, grau médio de amadurecimento.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616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2,18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1.342,88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07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Batata inglesa</w:t>
            </w:r>
            <w:r w:rsidRPr="003E139F">
              <w:rPr>
                <w:sz w:val="24"/>
                <w:szCs w:val="24"/>
              </w:rPr>
              <w:t>, nova, in natura, tenras, sem brotos e manchas, tamanho médio.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96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1,76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168,96</w:t>
            </w:r>
          </w:p>
        </w:tc>
      </w:tr>
      <w:tr w:rsidR="0098616C" w:rsidRPr="003E139F" w:rsidTr="003710B6">
        <w:trPr>
          <w:trHeight w:val="208"/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08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Bebida láctea, sabor ameixa,</w:t>
            </w:r>
            <w:r w:rsidRPr="003E139F">
              <w:rPr>
                <w:sz w:val="24"/>
                <w:szCs w:val="24"/>
              </w:rPr>
              <w:t xml:space="preserve"> embalagem plástica de 1 litro. Validade mínima de 30 dias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proofErr w:type="gramStart"/>
            <w:r w:rsidRPr="003E139F">
              <w:rPr>
                <w:sz w:val="24"/>
                <w:szCs w:val="24"/>
              </w:rPr>
              <w:t>91 L</w:t>
            </w:r>
            <w:proofErr w:type="gram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2,89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262,99</w:t>
            </w:r>
          </w:p>
        </w:tc>
      </w:tr>
      <w:tr w:rsidR="0098616C" w:rsidRPr="003E139F" w:rsidTr="003710B6">
        <w:trPr>
          <w:trHeight w:val="208"/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09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Bebida láctea, sabor coco,</w:t>
            </w:r>
            <w:r w:rsidRPr="003E139F">
              <w:rPr>
                <w:sz w:val="24"/>
                <w:szCs w:val="24"/>
              </w:rPr>
              <w:t xml:space="preserve"> embalagem plástica de 1 litro. Validade mínima de 30 dias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proofErr w:type="gramStart"/>
            <w:r w:rsidRPr="003E139F">
              <w:rPr>
                <w:sz w:val="24"/>
                <w:szCs w:val="24"/>
              </w:rPr>
              <w:t>91 L</w:t>
            </w:r>
            <w:proofErr w:type="gram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2,89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262,99</w:t>
            </w:r>
          </w:p>
        </w:tc>
      </w:tr>
      <w:tr w:rsidR="0098616C" w:rsidRPr="003E139F" w:rsidTr="003710B6">
        <w:trPr>
          <w:trHeight w:val="208"/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10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Bebida láctea, sabor morango,</w:t>
            </w:r>
            <w:r w:rsidRPr="003E139F">
              <w:rPr>
                <w:sz w:val="24"/>
                <w:szCs w:val="24"/>
              </w:rPr>
              <w:t xml:space="preserve"> embal</w:t>
            </w:r>
            <w:r w:rsidRPr="003E139F">
              <w:rPr>
                <w:sz w:val="24"/>
                <w:szCs w:val="24"/>
              </w:rPr>
              <w:t>a</w:t>
            </w:r>
            <w:r w:rsidRPr="003E139F">
              <w:rPr>
                <w:sz w:val="24"/>
                <w:szCs w:val="24"/>
              </w:rPr>
              <w:t>gem plástica de 1 litro. Validade mínima de 30 dias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proofErr w:type="gramStart"/>
            <w:r w:rsidRPr="003E139F">
              <w:rPr>
                <w:sz w:val="24"/>
                <w:szCs w:val="24"/>
              </w:rPr>
              <w:t>231 L</w:t>
            </w:r>
            <w:proofErr w:type="gram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2,89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667,59</w:t>
            </w:r>
          </w:p>
        </w:tc>
      </w:tr>
      <w:tr w:rsidR="0098616C" w:rsidRPr="003E139F" w:rsidTr="003710B6">
        <w:trPr>
          <w:trHeight w:val="208"/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Bebida láctea, sabor salada de fruta,</w:t>
            </w:r>
            <w:r w:rsidRPr="003E139F">
              <w:rPr>
                <w:sz w:val="24"/>
                <w:szCs w:val="24"/>
              </w:rPr>
              <w:t xml:space="preserve"> e</w:t>
            </w:r>
            <w:r w:rsidRPr="003E139F">
              <w:rPr>
                <w:sz w:val="24"/>
                <w:szCs w:val="24"/>
              </w:rPr>
              <w:t>m</w:t>
            </w:r>
            <w:r w:rsidRPr="003E139F">
              <w:rPr>
                <w:sz w:val="24"/>
                <w:szCs w:val="24"/>
              </w:rPr>
              <w:t>balagem plástica de 1 litro. Validade mínima de 30 dias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proofErr w:type="gramStart"/>
            <w:r w:rsidRPr="003E139F">
              <w:rPr>
                <w:sz w:val="24"/>
                <w:szCs w:val="24"/>
              </w:rPr>
              <w:t>91 L</w:t>
            </w:r>
            <w:proofErr w:type="gram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2,89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262,99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12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Biscoito doce sabor leite</w:t>
            </w:r>
            <w:r w:rsidRPr="003E139F">
              <w:rPr>
                <w:sz w:val="24"/>
                <w:szCs w:val="24"/>
              </w:rPr>
              <w:t>, pacote de, no mínimo, 370 gramas.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>Validade mínima de 08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75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3,58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268,50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13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Biscoito doce sabor maisena</w:t>
            </w:r>
            <w:r w:rsidRPr="003E139F">
              <w:rPr>
                <w:sz w:val="24"/>
                <w:szCs w:val="24"/>
              </w:rPr>
              <w:t>, pacote de, no mínimo, 370 gramas.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>Validade mínima de 08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63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3,82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240,66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14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 xml:space="preserve">Biscoito doce tipo </w:t>
            </w:r>
            <w:proofErr w:type="spellStart"/>
            <w:proofErr w:type="gramStart"/>
            <w:r w:rsidRPr="003E139F">
              <w:rPr>
                <w:b/>
                <w:sz w:val="24"/>
                <w:szCs w:val="24"/>
              </w:rPr>
              <w:t>maria</w:t>
            </w:r>
            <w:proofErr w:type="spellEnd"/>
            <w:proofErr w:type="gramEnd"/>
            <w:r w:rsidRPr="003E139F">
              <w:rPr>
                <w:sz w:val="24"/>
                <w:szCs w:val="24"/>
              </w:rPr>
              <w:t>, pacote de, no mínimo, 370 gramas.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>Validade mínima de 08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75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3,39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254,25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15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Biscoito tipo gergelim</w:t>
            </w:r>
            <w:r w:rsidRPr="003E139F">
              <w:rPr>
                <w:sz w:val="24"/>
                <w:szCs w:val="24"/>
              </w:rPr>
              <w:t>, pacote de, no m</w:t>
            </w:r>
            <w:r w:rsidRPr="003E139F">
              <w:rPr>
                <w:sz w:val="24"/>
                <w:szCs w:val="24"/>
              </w:rPr>
              <w:t>í</w:t>
            </w:r>
            <w:r w:rsidRPr="003E139F">
              <w:rPr>
                <w:sz w:val="24"/>
                <w:szCs w:val="24"/>
              </w:rPr>
              <w:t>nimo, 370 gramas.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>Validade mínima de 08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33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4,79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158,07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16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Biscoito tipo integral</w:t>
            </w:r>
            <w:r w:rsidRPr="003E139F">
              <w:rPr>
                <w:sz w:val="24"/>
                <w:szCs w:val="24"/>
              </w:rPr>
              <w:t>, pacote de, no mín</w:t>
            </w:r>
            <w:r w:rsidRPr="003E139F">
              <w:rPr>
                <w:sz w:val="24"/>
                <w:szCs w:val="24"/>
              </w:rPr>
              <w:t>i</w:t>
            </w:r>
            <w:r w:rsidRPr="003E139F">
              <w:rPr>
                <w:sz w:val="24"/>
                <w:szCs w:val="24"/>
              </w:rPr>
              <w:t>mo, 370 gramas.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>Validade mínima de 08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15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3,89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58,35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17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Biscoito salgado</w:t>
            </w:r>
            <w:r w:rsidRPr="003E139F">
              <w:rPr>
                <w:sz w:val="24"/>
                <w:szCs w:val="24"/>
              </w:rPr>
              <w:t>, pacote de, no mínimo, 370 gramas.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>Validade mínima de 08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51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3,71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189,21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18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Canela em pó</w:t>
            </w:r>
            <w:r w:rsidRPr="003E139F">
              <w:rPr>
                <w:sz w:val="24"/>
                <w:szCs w:val="24"/>
              </w:rPr>
              <w:t>, pote de 30 gramas.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06 </w:t>
            </w:r>
            <w:proofErr w:type="spellStart"/>
            <w:proofErr w:type="gramStart"/>
            <w:r w:rsidRPr="003E139F">
              <w:rPr>
                <w:sz w:val="24"/>
                <w:szCs w:val="24"/>
              </w:rPr>
              <w:t>pt</w:t>
            </w:r>
            <w:proofErr w:type="spellEnd"/>
            <w:proofErr w:type="gram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2,79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16,74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19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Canela em rama</w:t>
            </w:r>
            <w:r w:rsidRPr="003E139F">
              <w:rPr>
                <w:sz w:val="24"/>
                <w:szCs w:val="24"/>
              </w:rPr>
              <w:t>, pote de 12 gramas.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03 </w:t>
            </w:r>
            <w:proofErr w:type="spellStart"/>
            <w:proofErr w:type="gramStart"/>
            <w:r w:rsidRPr="003E139F">
              <w:rPr>
                <w:sz w:val="24"/>
                <w:szCs w:val="24"/>
              </w:rPr>
              <w:t>pt</w:t>
            </w:r>
            <w:proofErr w:type="spellEnd"/>
            <w:proofErr w:type="gram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2,24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6,72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20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bCs/>
                <w:sz w:val="24"/>
                <w:szCs w:val="24"/>
              </w:rPr>
              <w:t>Carne suína</w:t>
            </w:r>
            <w:r w:rsidRPr="003E139F">
              <w:rPr>
                <w:bCs/>
                <w:sz w:val="24"/>
                <w:szCs w:val="24"/>
              </w:rPr>
              <w:t>,</w:t>
            </w:r>
            <w:r w:rsidRPr="003E139F">
              <w:rPr>
                <w:b/>
                <w:bCs/>
                <w:sz w:val="24"/>
                <w:szCs w:val="24"/>
              </w:rPr>
              <w:t xml:space="preserve"> </w:t>
            </w:r>
            <w:r w:rsidRPr="003E139F">
              <w:rPr>
                <w:bCs/>
                <w:sz w:val="24"/>
                <w:szCs w:val="24"/>
              </w:rPr>
              <w:t>tipo pernil e</w:t>
            </w:r>
            <w:r w:rsidRPr="003E139F">
              <w:rPr>
                <w:sz w:val="24"/>
                <w:szCs w:val="24"/>
              </w:rPr>
              <w:t xml:space="preserve"> com pouca gord</w:t>
            </w:r>
            <w:r w:rsidRPr="003E139F">
              <w:rPr>
                <w:sz w:val="24"/>
                <w:szCs w:val="24"/>
              </w:rPr>
              <w:t>u</w:t>
            </w:r>
            <w:r w:rsidRPr="003E139F">
              <w:rPr>
                <w:sz w:val="24"/>
                <w:szCs w:val="24"/>
              </w:rPr>
              <w:t>ra, congelado (-18°C). Embalagem plástica sem acúmulo de líquidos em seu interior, com identificação do produto.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84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9,46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794,64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21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Cebola</w:t>
            </w:r>
            <w:r w:rsidRPr="003E139F">
              <w:rPr>
                <w:sz w:val="24"/>
                <w:szCs w:val="24"/>
              </w:rPr>
              <w:t>, nova, limpa, sem brotos, tamanho médio, com casca sã, sem rupturas.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51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2,59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132,09</w:t>
            </w:r>
          </w:p>
        </w:tc>
      </w:tr>
      <w:tr w:rsidR="0098616C" w:rsidRPr="003E139F" w:rsidTr="003710B6">
        <w:trPr>
          <w:trHeight w:val="780"/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22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Colorau</w:t>
            </w:r>
            <w:r w:rsidRPr="003E139F">
              <w:rPr>
                <w:sz w:val="24"/>
                <w:szCs w:val="24"/>
              </w:rPr>
              <w:t>, pacote de 100 gramas. Validade mínima de 06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19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1,23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23,37</w:t>
            </w:r>
          </w:p>
        </w:tc>
      </w:tr>
      <w:tr w:rsidR="0098616C" w:rsidRPr="003E139F" w:rsidTr="003710B6">
        <w:trPr>
          <w:trHeight w:val="355"/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Cravo-da-índia</w:t>
            </w:r>
            <w:r w:rsidRPr="003E139F">
              <w:rPr>
                <w:sz w:val="24"/>
                <w:szCs w:val="24"/>
              </w:rPr>
              <w:t>, pote de 18 gramas.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04 </w:t>
            </w:r>
            <w:proofErr w:type="spellStart"/>
            <w:proofErr w:type="gramStart"/>
            <w:r w:rsidRPr="003E139F">
              <w:rPr>
                <w:sz w:val="24"/>
                <w:szCs w:val="24"/>
              </w:rPr>
              <w:t>pt</w:t>
            </w:r>
            <w:proofErr w:type="spellEnd"/>
            <w:proofErr w:type="gram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3,71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14,84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24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Ervilha natural</w:t>
            </w:r>
            <w:r w:rsidRPr="003E139F">
              <w:rPr>
                <w:sz w:val="24"/>
                <w:szCs w:val="24"/>
              </w:rPr>
              <w:t>, congelada, pacote de 350 gramas. Validade mínima de 04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19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5,43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103,17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25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Farinha de milho</w:t>
            </w:r>
            <w:r w:rsidRPr="003E139F">
              <w:rPr>
                <w:sz w:val="24"/>
                <w:szCs w:val="24"/>
              </w:rPr>
              <w:t>, fina, em perfeito estado de conservação, não pode estar úmida, fe</w:t>
            </w:r>
            <w:r w:rsidRPr="003E139F">
              <w:rPr>
                <w:sz w:val="24"/>
                <w:szCs w:val="24"/>
              </w:rPr>
              <w:t>r</w:t>
            </w:r>
            <w:r w:rsidRPr="003E139F">
              <w:rPr>
                <w:sz w:val="24"/>
                <w:szCs w:val="24"/>
              </w:rPr>
              <w:t>mentada ou rançosa, pacote de 01 kg.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15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1,99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29,85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26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Farinha de trigo especial</w:t>
            </w:r>
            <w:r w:rsidRPr="003E139F">
              <w:rPr>
                <w:sz w:val="24"/>
                <w:szCs w:val="24"/>
              </w:rPr>
              <w:t>, em perfeito e</w:t>
            </w:r>
            <w:r w:rsidRPr="003E139F">
              <w:rPr>
                <w:sz w:val="24"/>
                <w:szCs w:val="24"/>
              </w:rPr>
              <w:t>s</w:t>
            </w:r>
            <w:r w:rsidRPr="003E139F">
              <w:rPr>
                <w:sz w:val="24"/>
                <w:szCs w:val="24"/>
              </w:rPr>
              <w:t>tado de conservação, não pode estar úmida, fermentada ou rançosa, pacote de 05 kg.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10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10,28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102,80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27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Feijão preto</w:t>
            </w:r>
            <w:r w:rsidRPr="003E139F">
              <w:rPr>
                <w:sz w:val="24"/>
                <w:szCs w:val="24"/>
              </w:rPr>
              <w:t>, bom cozimento, pacote de 01 kg. Validade mínima de 04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56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3,48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194,88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28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Fermento em pó químico</w:t>
            </w:r>
            <w:r w:rsidRPr="003E139F">
              <w:rPr>
                <w:sz w:val="24"/>
                <w:szCs w:val="24"/>
              </w:rPr>
              <w:t>, pote de 100 gramas. Validade mínima de 06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25 </w:t>
            </w:r>
            <w:proofErr w:type="spellStart"/>
            <w:r w:rsidRPr="003E139F">
              <w:rPr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2,09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52,25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29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Frango: coxa e sobrecoxa</w:t>
            </w:r>
            <w:r w:rsidRPr="003E139F">
              <w:rPr>
                <w:sz w:val="24"/>
                <w:szCs w:val="24"/>
              </w:rPr>
              <w:t>, congelado (-18°C), aspecto próprio, não pegajoso, cheiro e sabor característicos. Validade mínima de 04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120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6,63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795,60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30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Frango: peito de frango</w:t>
            </w:r>
            <w:r w:rsidRPr="003E139F">
              <w:rPr>
                <w:sz w:val="24"/>
                <w:szCs w:val="24"/>
              </w:rPr>
              <w:t xml:space="preserve">, congelado (-18°C), com osso, aspecto próprio, cheiro e sabor característicos. Validade mínima de 04 meses </w:t>
            </w:r>
            <w:proofErr w:type="gramStart"/>
            <w:r w:rsidRPr="003E139F">
              <w:rPr>
                <w:sz w:val="24"/>
                <w:szCs w:val="24"/>
              </w:rPr>
              <w:t>contar</w:t>
            </w:r>
            <w:proofErr w:type="gramEnd"/>
            <w:r w:rsidRPr="003E139F">
              <w:rPr>
                <w:sz w:val="24"/>
                <w:szCs w:val="24"/>
              </w:rPr>
              <w:t xml:space="preserve">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87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7,79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677,73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31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Leite integral</w:t>
            </w:r>
            <w:r w:rsidRPr="003E139F">
              <w:rPr>
                <w:sz w:val="24"/>
                <w:szCs w:val="24"/>
              </w:rPr>
              <w:t>, UHT, sem necessidade de refrigeração, caixa de 01 litro. Validade mínima de 03 meses a contar da data de e</w:t>
            </w:r>
            <w:r w:rsidRPr="003E139F">
              <w:rPr>
                <w:sz w:val="24"/>
                <w:szCs w:val="24"/>
              </w:rPr>
              <w:t>n</w:t>
            </w:r>
            <w:r w:rsidRPr="003E139F">
              <w:rPr>
                <w:sz w:val="24"/>
                <w:szCs w:val="24"/>
              </w:rPr>
              <w:t>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proofErr w:type="gramStart"/>
            <w:r w:rsidRPr="003E139F">
              <w:rPr>
                <w:sz w:val="24"/>
                <w:szCs w:val="24"/>
              </w:rPr>
              <w:t>495 L</w:t>
            </w:r>
            <w:proofErr w:type="gram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3,86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1910,70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32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Lentilha</w:t>
            </w:r>
            <w:r w:rsidRPr="003E139F">
              <w:rPr>
                <w:sz w:val="24"/>
                <w:szCs w:val="24"/>
              </w:rPr>
              <w:t>, pacote de 500 gramas. Validade mínima de 04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51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4,88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248,88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3E139F">
              <w:rPr>
                <w:sz w:val="24"/>
                <w:szCs w:val="24"/>
              </w:rPr>
              <w:t>33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Maçã vermelha</w:t>
            </w:r>
            <w:r w:rsidRPr="003E139F">
              <w:rPr>
                <w:sz w:val="24"/>
                <w:szCs w:val="24"/>
              </w:rPr>
              <w:t xml:space="preserve">, in natura, tamanho médio, </w:t>
            </w:r>
            <w:r w:rsidRPr="003E139F">
              <w:rPr>
                <w:sz w:val="24"/>
                <w:szCs w:val="24"/>
              </w:rPr>
              <w:lastRenderedPageBreak/>
              <w:t>boa qualidade, grau médio de amadurec</w:t>
            </w:r>
            <w:r w:rsidRPr="003E139F">
              <w:rPr>
                <w:sz w:val="24"/>
                <w:szCs w:val="24"/>
              </w:rPr>
              <w:t>i</w:t>
            </w:r>
            <w:r w:rsidRPr="003E139F">
              <w:rPr>
                <w:sz w:val="24"/>
                <w:szCs w:val="24"/>
              </w:rPr>
              <w:t>mento, sem manchas, machucaduras ou ferrugem.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lastRenderedPageBreak/>
              <w:t>403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5,41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2.180,23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Mamão</w:t>
            </w:r>
            <w:r w:rsidRPr="003E139F">
              <w:rPr>
                <w:sz w:val="24"/>
                <w:szCs w:val="24"/>
              </w:rPr>
              <w:t>, boa maturação, íntegro, grau m</w:t>
            </w:r>
            <w:r w:rsidRPr="003E139F">
              <w:rPr>
                <w:sz w:val="24"/>
                <w:szCs w:val="24"/>
              </w:rPr>
              <w:t>é</w:t>
            </w:r>
            <w:r w:rsidRPr="003E139F">
              <w:rPr>
                <w:sz w:val="24"/>
                <w:szCs w:val="24"/>
              </w:rPr>
              <w:t>dio de amadurecimento.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75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4,58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343,50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35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Margarina</w:t>
            </w:r>
            <w:r w:rsidRPr="003E139F">
              <w:rPr>
                <w:sz w:val="24"/>
                <w:szCs w:val="24"/>
              </w:rPr>
              <w:t xml:space="preserve">, </w:t>
            </w:r>
            <w:r w:rsidRPr="003E139F">
              <w:rPr>
                <w:i/>
                <w:sz w:val="24"/>
                <w:szCs w:val="24"/>
              </w:rPr>
              <w:t>light</w:t>
            </w:r>
            <w:r w:rsidRPr="003E139F">
              <w:rPr>
                <w:sz w:val="24"/>
                <w:szCs w:val="24"/>
              </w:rPr>
              <w:t>, sem sal, boa aparência e consistência, pote de 500 gramas. Validade mínima de 04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19 </w:t>
            </w:r>
            <w:proofErr w:type="spellStart"/>
            <w:r w:rsidRPr="003E139F">
              <w:rPr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5,60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106,40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36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Milho natural</w:t>
            </w:r>
            <w:r w:rsidRPr="003E139F">
              <w:rPr>
                <w:sz w:val="24"/>
                <w:szCs w:val="24"/>
              </w:rPr>
              <w:t>, congelado, pacote de 350 gramas. Validade mínima de 04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19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4,96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94,24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37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M</w:t>
            </w:r>
            <w:r w:rsidRPr="003E139F">
              <w:rPr>
                <w:b/>
                <w:bCs/>
                <w:sz w:val="24"/>
                <w:szCs w:val="24"/>
              </w:rPr>
              <w:t xml:space="preserve">oranga, tipo </w:t>
            </w:r>
            <w:proofErr w:type="spellStart"/>
            <w:r w:rsidRPr="003E139F">
              <w:rPr>
                <w:b/>
                <w:bCs/>
                <w:sz w:val="24"/>
                <w:szCs w:val="24"/>
              </w:rPr>
              <w:t>cabotiã</w:t>
            </w:r>
            <w:proofErr w:type="spellEnd"/>
            <w:r w:rsidRPr="003E139F">
              <w:rPr>
                <w:b/>
                <w:bCs/>
                <w:sz w:val="24"/>
                <w:szCs w:val="24"/>
              </w:rPr>
              <w:t xml:space="preserve">, </w:t>
            </w:r>
            <w:r w:rsidRPr="003E139F">
              <w:rPr>
                <w:sz w:val="24"/>
                <w:szCs w:val="24"/>
              </w:rPr>
              <w:t>com polpa intacta e limpa, tamanho médio, sem brotos, sem r</w:t>
            </w:r>
            <w:r w:rsidRPr="003E139F">
              <w:rPr>
                <w:sz w:val="24"/>
                <w:szCs w:val="24"/>
              </w:rPr>
              <w:t>a</w:t>
            </w:r>
            <w:r w:rsidRPr="003E139F">
              <w:rPr>
                <w:sz w:val="24"/>
                <w:szCs w:val="24"/>
              </w:rPr>
              <w:t>chaduras, sem bolores, de boa qualidade.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27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2,36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63,72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38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Mortadela</w:t>
            </w:r>
            <w:r w:rsidRPr="003E139F">
              <w:rPr>
                <w:sz w:val="24"/>
                <w:szCs w:val="24"/>
              </w:rPr>
              <w:t>, sem gordura, fatiada na hora da entrega, com registro no respectivo órgão de inspeção, embalada em materiais pr</w:t>
            </w:r>
            <w:r w:rsidRPr="003E139F">
              <w:rPr>
                <w:sz w:val="24"/>
                <w:szCs w:val="24"/>
              </w:rPr>
              <w:t>ó</w:t>
            </w:r>
            <w:r w:rsidRPr="003E139F">
              <w:rPr>
                <w:sz w:val="24"/>
                <w:szCs w:val="24"/>
              </w:rPr>
              <w:t>prios às condições de armazenamento, que lhe confira uma proteção adequada. Data de fatiamento e validade impressos na embal</w:t>
            </w:r>
            <w:r w:rsidRPr="003E139F">
              <w:rPr>
                <w:sz w:val="24"/>
                <w:szCs w:val="24"/>
              </w:rPr>
              <w:t>a</w:t>
            </w:r>
            <w:r w:rsidRPr="003E139F">
              <w:rPr>
                <w:sz w:val="24"/>
                <w:szCs w:val="24"/>
              </w:rPr>
              <w:t>gem.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22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7,21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158,62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39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Óleo de soja</w:t>
            </w:r>
            <w:r w:rsidRPr="003E139F">
              <w:rPr>
                <w:sz w:val="24"/>
                <w:szCs w:val="24"/>
              </w:rPr>
              <w:t>, embalagens pet de 900 ml. Validade mínima de 04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70 </w:t>
            </w:r>
            <w:proofErr w:type="spellStart"/>
            <w:r w:rsidRPr="003E139F">
              <w:rPr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3,41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238,70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40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Orégano</w:t>
            </w:r>
            <w:r w:rsidRPr="003E139F">
              <w:rPr>
                <w:sz w:val="24"/>
                <w:szCs w:val="24"/>
              </w:rPr>
              <w:t>, pacote de 100 gramas. Validade mínima de 12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04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7,02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28,08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41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Ovos de galinha</w:t>
            </w:r>
            <w:r w:rsidRPr="003E139F">
              <w:rPr>
                <w:sz w:val="24"/>
                <w:szCs w:val="24"/>
              </w:rPr>
              <w:t>, frescos, casca firme, h</w:t>
            </w:r>
            <w:r w:rsidRPr="003E139F">
              <w:rPr>
                <w:sz w:val="24"/>
                <w:szCs w:val="24"/>
              </w:rPr>
              <w:t>o</w:t>
            </w:r>
            <w:r w:rsidRPr="003E139F">
              <w:rPr>
                <w:sz w:val="24"/>
                <w:szCs w:val="24"/>
              </w:rPr>
              <w:t>mogênea, limpa e sem rachaduras. Validade mínima de 20 dias a contar da data de e</w:t>
            </w:r>
            <w:r w:rsidRPr="003E139F">
              <w:rPr>
                <w:sz w:val="24"/>
                <w:szCs w:val="24"/>
              </w:rPr>
              <w:t>n</w:t>
            </w:r>
            <w:r w:rsidRPr="003E139F">
              <w:rPr>
                <w:sz w:val="24"/>
                <w:szCs w:val="24"/>
              </w:rPr>
              <w:t>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54 </w:t>
            </w:r>
            <w:proofErr w:type="spellStart"/>
            <w:r w:rsidRPr="003E139F">
              <w:rPr>
                <w:sz w:val="24"/>
                <w:szCs w:val="24"/>
              </w:rPr>
              <w:t>dz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5,11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275,94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42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Pimentão verde</w:t>
            </w:r>
            <w:r w:rsidRPr="003E139F">
              <w:rPr>
                <w:sz w:val="24"/>
                <w:szCs w:val="24"/>
              </w:rPr>
              <w:t xml:space="preserve">, boa qualidade, </w:t>
            </w:r>
            <w:r w:rsidRPr="003E139F">
              <w:rPr>
                <w:bCs/>
                <w:sz w:val="24"/>
                <w:szCs w:val="24"/>
              </w:rPr>
              <w:t xml:space="preserve">tamanho </w:t>
            </w:r>
            <w:r w:rsidRPr="003E139F">
              <w:rPr>
                <w:bCs/>
                <w:sz w:val="24"/>
                <w:szCs w:val="24"/>
              </w:rPr>
              <w:lastRenderedPageBreak/>
              <w:t>médio, unidades íntegras, frescas e limpas, sem rachaduras ou perfurações.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lastRenderedPageBreak/>
              <w:t>12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5,96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71,52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Polpa de tomate</w:t>
            </w:r>
            <w:r w:rsidRPr="003E139F">
              <w:rPr>
                <w:sz w:val="24"/>
                <w:szCs w:val="24"/>
              </w:rPr>
              <w:t>, embalagem de 520 gr</w:t>
            </w:r>
            <w:r w:rsidRPr="003E139F">
              <w:rPr>
                <w:sz w:val="24"/>
                <w:szCs w:val="24"/>
              </w:rPr>
              <w:t>a</w:t>
            </w:r>
            <w:r w:rsidRPr="003E139F">
              <w:rPr>
                <w:sz w:val="24"/>
                <w:szCs w:val="24"/>
              </w:rPr>
              <w:t>mas. Validade mínima de 06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59 </w:t>
            </w:r>
            <w:proofErr w:type="spellStart"/>
            <w:r w:rsidRPr="003E139F">
              <w:rPr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2,59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152,81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44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 xml:space="preserve">Queijo </w:t>
            </w:r>
            <w:proofErr w:type="spellStart"/>
            <w:r w:rsidRPr="003E139F">
              <w:rPr>
                <w:b/>
                <w:sz w:val="24"/>
                <w:szCs w:val="24"/>
              </w:rPr>
              <w:t>mussarela</w:t>
            </w:r>
            <w:proofErr w:type="spellEnd"/>
            <w:r w:rsidRPr="003E139F">
              <w:rPr>
                <w:sz w:val="24"/>
                <w:szCs w:val="24"/>
              </w:rPr>
              <w:t>,</w:t>
            </w:r>
            <w:r w:rsidRPr="003E139F">
              <w:rPr>
                <w:b/>
                <w:sz w:val="24"/>
                <w:szCs w:val="24"/>
              </w:rPr>
              <w:t xml:space="preserve"> </w:t>
            </w:r>
            <w:r w:rsidRPr="003E139F">
              <w:rPr>
                <w:sz w:val="24"/>
                <w:szCs w:val="24"/>
              </w:rPr>
              <w:t>fatiado na hora da e</w:t>
            </w:r>
            <w:r w:rsidRPr="003E139F">
              <w:rPr>
                <w:sz w:val="24"/>
                <w:szCs w:val="24"/>
              </w:rPr>
              <w:t>n</w:t>
            </w:r>
            <w:r w:rsidRPr="003E139F">
              <w:rPr>
                <w:sz w:val="24"/>
                <w:szCs w:val="24"/>
              </w:rPr>
              <w:t>trega, boa aparência e qualidade, com regi</w:t>
            </w:r>
            <w:r w:rsidRPr="003E139F">
              <w:rPr>
                <w:sz w:val="24"/>
                <w:szCs w:val="24"/>
              </w:rPr>
              <w:t>s</w:t>
            </w:r>
            <w:r w:rsidRPr="003E139F">
              <w:rPr>
                <w:sz w:val="24"/>
                <w:szCs w:val="24"/>
              </w:rPr>
              <w:t>tro no respectivo órgão de inspeção, emb</w:t>
            </w:r>
            <w:r w:rsidRPr="003E139F">
              <w:rPr>
                <w:sz w:val="24"/>
                <w:szCs w:val="24"/>
              </w:rPr>
              <w:t>a</w:t>
            </w:r>
            <w:r w:rsidRPr="003E139F">
              <w:rPr>
                <w:sz w:val="24"/>
                <w:szCs w:val="24"/>
              </w:rPr>
              <w:t>lado em materiais próprios às condições de armazenamento, que lhe confira uma prot</w:t>
            </w:r>
            <w:r w:rsidRPr="003E139F">
              <w:rPr>
                <w:sz w:val="24"/>
                <w:szCs w:val="24"/>
              </w:rPr>
              <w:t>e</w:t>
            </w:r>
            <w:r w:rsidRPr="003E139F">
              <w:rPr>
                <w:sz w:val="24"/>
                <w:szCs w:val="24"/>
              </w:rPr>
              <w:t>ção adequada. Data de fatiamento e valid</w:t>
            </w:r>
            <w:r w:rsidRPr="003E139F">
              <w:rPr>
                <w:sz w:val="24"/>
                <w:szCs w:val="24"/>
              </w:rPr>
              <w:t>a</w:t>
            </w:r>
            <w:r w:rsidRPr="003E139F">
              <w:rPr>
                <w:sz w:val="24"/>
                <w:szCs w:val="24"/>
              </w:rPr>
              <w:t>de impressos na embalagem.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28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29,12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815,36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45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Sagu</w:t>
            </w:r>
            <w:r w:rsidRPr="003E139F">
              <w:rPr>
                <w:sz w:val="24"/>
                <w:szCs w:val="24"/>
              </w:rPr>
              <w:t>, boa qualidade, sem mofo, solto, p</w:t>
            </w:r>
            <w:r w:rsidRPr="003E139F">
              <w:rPr>
                <w:sz w:val="24"/>
                <w:szCs w:val="24"/>
              </w:rPr>
              <w:t>a</w:t>
            </w:r>
            <w:r w:rsidRPr="003E139F">
              <w:rPr>
                <w:sz w:val="24"/>
                <w:szCs w:val="24"/>
              </w:rPr>
              <w:t>cote de 500 gramas. Validade mínima de 10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22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3,72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81,84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46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Sal refinado iodado</w:t>
            </w:r>
            <w:r w:rsidRPr="003E139F">
              <w:rPr>
                <w:sz w:val="24"/>
                <w:szCs w:val="24"/>
              </w:rPr>
              <w:t>, pacote de 01 kg. Val</w:t>
            </w:r>
            <w:r w:rsidRPr="003E139F">
              <w:rPr>
                <w:sz w:val="24"/>
                <w:szCs w:val="24"/>
              </w:rPr>
              <w:t>i</w:t>
            </w:r>
            <w:r w:rsidRPr="003E139F">
              <w:rPr>
                <w:sz w:val="24"/>
                <w:szCs w:val="24"/>
              </w:rPr>
              <w:t>dade mínima de 12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19 </w:t>
            </w:r>
            <w:proofErr w:type="spellStart"/>
            <w:r w:rsidRPr="003E139F">
              <w:rPr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1,00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19,00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47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Tomate</w:t>
            </w:r>
            <w:r w:rsidRPr="003E139F">
              <w:rPr>
                <w:sz w:val="24"/>
                <w:szCs w:val="24"/>
              </w:rPr>
              <w:t>, tipo longa vida, tamanho médio, boa qualidade, com boa maturação, sem ferimentos ou defeitos, tenros, sem ma</w:t>
            </w:r>
            <w:r w:rsidRPr="003E139F">
              <w:rPr>
                <w:sz w:val="24"/>
                <w:szCs w:val="24"/>
              </w:rPr>
              <w:t>n</w:t>
            </w:r>
            <w:r w:rsidRPr="003E139F">
              <w:rPr>
                <w:sz w:val="24"/>
                <w:szCs w:val="24"/>
              </w:rPr>
              <w:t>chas, com coloração uniforme e brilho</w:t>
            </w:r>
            <w:r w:rsidRPr="003E139F">
              <w:rPr>
                <w:sz w:val="21"/>
                <w:szCs w:val="21"/>
              </w:rPr>
              <w:t>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77 kg</w:t>
            </w:r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3,07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236,39</w:t>
            </w:r>
          </w:p>
        </w:tc>
      </w:tr>
      <w:tr w:rsidR="0098616C" w:rsidRPr="003E139F" w:rsidTr="003710B6">
        <w:trPr>
          <w:jc w:val="center"/>
        </w:trPr>
        <w:tc>
          <w:tcPr>
            <w:tcW w:w="710" w:type="dxa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48</w:t>
            </w:r>
          </w:p>
        </w:tc>
        <w:tc>
          <w:tcPr>
            <w:tcW w:w="5016" w:type="dxa"/>
          </w:tcPr>
          <w:p w:rsidR="0098616C" w:rsidRPr="003E139F" w:rsidRDefault="0098616C" w:rsidP="003710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E139F">
              <w:rPr>
                <w:b/>
                <w:sz w:val="24"/>
                <w:szCs w:val="24"/>
              </w:rPr>
              <w:t>Vinagre de maçã</w:t>
            </w:r>
            <w:r w:rsidRPr="003E139F">
              <w:rPr>
                <w:sz w:val="24"/>
                <w:szCs w:val="24"/>
              </w:rPr>
              <w:t>, embalagem pet de 750 ml. Validade mínima de 10 meses a contar da data de entrega.</w:t>
            </w:r>
          </w:p>
        </w:tc>
        <w:tc>
          <w:tcPr>
            <w:tcW w:w="1510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 xml:space="preserve">21 </w:t>
            </w:r>
            <w:proofErr w:type="spellStart"/>
            <w:r w:rsidRPr="003E139F">
              <w:rPr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1636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2,44</w:t>
            </w:r>
          </w:p>
        </w:tc>
        <w:tc>
          <w:tcPr>
            <w:tcW w:w="1444" w:type="dxa"/>
          </w:tcPr>
          <w:p w:rsidR="0098616C" w:rsidRPr="003E139F" w:rsidRDefault="0098616C" w:rsidP="003710B6">
            <w:pPr>
              <w:jc w:val="center"/>
              <w:rPr>
                <w:sz w:val="24"/>
                <w:szCs w:val="24"/>
              </w:rPr>
            </w:pPr>
            <w:r w:rsidRPr="003E139F">
              <w:rPr>
                <w:sz w:val="24"/>
                <w:szCs w:val="24"/>
              </w:rPr>
              <w:t>51,24</w:t>
            </w:r>
          </w:p>
        </w:tc>
      </w:tr>
      <w:tr w:rsidR="0098616C" w:rsidRPr="003E139F" w:rsidTr="003710B6">
        <w:trPr>
          <w:jc w:val="center"/>
        </w:trPr>
        <w:tc>
          <w:tcPr>
            <w:tcW w:w="10316" w:type="dxa"/>
            <w:gridSpan w:val="5"/>
          </w:tcPr>
          <w:p w:rsidR="0098616C" w:rsidRPr="003E139F" w:rsidRDefault="0098616C" w:rsidP="003710B6">
            <w:pPr>
              <w:spacing w:line="360" w:lineRule="auto"/>
            </w:pPr>
            <w:r w:rsidRPr="003E139F">
              <w:t xml:space="preserve">   </w:t>
            </w:r>
          </w:p>
        </w:tc>
      </w:tr>
      <w:tr w:rsidR="0098616C" w:rsidRPr="003E139F" w:rsidTr="003710B6">
        <w:trPr>
          <w:jc w:val="center"/>
        </w:trPr>
        <w:tc>
          <w:tcPr>
            <w:tcW w:w="10316" w:type="dxa"/>
            <w:gridSpan w:val="5"/>
          </w:tcPr>
          <w:p w:rsidR="0098616C" w:rsidRPr="003E139F" w:rsidRDefault="0098616C" w:rsidP="003710B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3E139F">
              <w:rPr>
                <w:b/>
                <w:sz w:val="24"/>
                <w:szCs w:val="24"/>
              </w:rPr>
              <w:t>VALOR TOTAL: R$ 15.147,50</w:t>
            </w:r>
          </w:p>
        </w:tc>
      </w:tr>
    </w:tbl>
    <w:p w:rsidR="00A2617B" w:rsidRDefault="00A2617B">
      <w:bookmarkStart w:id="0" w:name="_GoBack"/>
      <w:bookmarkEnd w:id="0"/>
    </w:p>
    <w:sectPr w:rsidR="00A26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6C"/>
    <w:rsid w:val="0098616C"/>
    <w:rsid w:val="00A2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6C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6C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1039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LICITACOES</dc:creator>
  <cp:lastModifiedBy>LICITACOES</cp:lastModifiedBy>
  <cp:revision>1</cp:revision>
  <dcterms:created xsi:type="dcterms:W3CDTF">2018-08-07T11:43:00Z</dcterms:created>
  <dcterms:modified xsi:type="dcterms:W3CDTF">2018-08-07T11:45:00Z</dcterms:modified>
</cp:coreProperties>
</file>